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Egenrapportering av lønns - og arbeidsvilkår</w:t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 vises til Trondheim Kommunes seriøsitetsbestemmelser Denne egenrapporteringen er en del av oppfølgingen, beskrevet i kravene. </w:t>
      </w:r>
    </w:p>
    <w:p w:rsidR="00000000" w:rsidDel="00000000" w:rsidP="00000000" w:rsidRDefault="00000000" w:rsidRPr="00000000" w14:paraId="00000004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Krav til lønns - og arbeidsvilkår er omtalt i Trondheim kommunes seriøsitetsbestemmelser. </w:t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Egenrapporteringen skal besvares av leverandør ved innlevering av tilbud, med mindre annet er avtalt, og skal i tillegg svares ut av hver enkelt underleverandør. </w:t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 spørsmålene skal besvares med utgangspunkt i de ansatte, innleide og utsendte arbeidstakerne som direkte medvirker, eller etter planen skal direkte medvirke til å oppfylle kontrakten hos dere som leverandør eller hos underleverandør.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Opplysninger som skal fylles ut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Hovedleverandør: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Underleverandør: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Org.nr.: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Kontraktsnummer: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Startbank ID: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Oppgi antall egne ansatte for oppdraget: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Lønns -og arbeidsvilkår i egen virksomhet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a) En av tre punkter nedenfor må kunne besvares for å oppfylle kontraktsforpliktelsen med Trondheim kommune: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Er virksomheten bundet av tariff gjennom et samarbeid med partene i norsk arbeidsliv?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 ved henvisning til tariff og kontaktinformasjon for tillitsvalgte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Er virksomheten bundet av en allmenngjort tariffavtale? Legg ved henvisning til tariffavtale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Hvis virksomheten ikke er bundet av en tariffavtale slik nevnt i punkt 1 og 2, skal det likevel legges en landsdekkende tariffavtale til grunn for lønns - og arbeidsvilkår ved gjennomføring av denne kontrakten.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 ved henvisning til aktuell tariff.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 Skal det benyttes ufaglært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 Skal det benyttes midlertidig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d) Skal det benyttes innleid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e) Skal det benyttes utenlandsk arbeidskraft?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f) Planlegges det med arbeidstid utover normal arbeidstid på 9 timer i løpet av 24 timer i uka? Er det i såfall etablert gyldig avtaler om gjennomsnittsberegning av arbeidstiden etter aml. § 10-5?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g) Er arbeidstakerne tilreisende til anlegget hvor det er aktuelt med dekning av utgifter til reise, kost og losji? Hvilke avtaler gjelder i så fall?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4819"/>
        <w:tblGridChange w:id="0">
          <w:tblGrid>
            <w:gridCol w:w="4819"/>
            <w:gridCol w:w="4819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2"/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II. Lønns - og arbeidsvilkår hos underleverandør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a) List opp eventuelle underleverandører, inkludert bemanningsbyråer, som utfører, eller etter planen skal utføre arbeider i Norge under denne kontrakten</w:t>
              <w:tab/>
              <w:tab/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 Er Trondheim kommunes kontraktskrav til lønns - og arbeidsvilkår inkludert i deres kontrakter med eventuelle underleverandører? Legg ved eksempel på formuleringene dere bruker i kontraktene.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 Hvordan sørger dere for at underleverandørens ansatte som utfører arbeid på denne kontrakten får lønns - og arbeidsvilkår i henhold til kontraktsvilkårene?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9854.0" w:type="dxa"/>
      <w:jc w:val="left"/>
      <w:tblInd w:w="-11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6072"/>
      <w:gridCol w:w="2201"/>
      <w:gridCol w:w="1581"/>
      <w:tblGridChange w:id="0">
        <w:tblGrid>
          <w:gridCol w:w="6072"/>
          <w:gridCol w:w="2201"/>
          <w:gridCol w:w="1581"/>
        </w:tblGrid>
      </w:tblGridChange>
    </w:tblGrid>
    <w:tr>
      <w:trPr>
        <w:cantSplit w:val="0"/>
        <w:tblHeader w:val="0"/>
      </w:trPr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bookmarkStart w:colFirst="0" w:colLast="0" w:name="bookmark=id.gjdgxs" w:id="0"/>
        <w:bookmarkEnd w:id="0"/>
        <w:p w:rsidR="00000000" w:rsidDel="00000000" w:rsidP="00000000" w:rsidRDefault="00000000" w:rsidRPr="00000000" w14:paraId="00000041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2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3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jc w:val="right"/>
            <w:rPr/>
          </w:pP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Side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 av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4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ind w:left="-1134" w:right="-1134.0000000000005" w:firstLine="0"/>
      <w:rPr>
        <w:rFonts w:ascii="Trebuchet MS" w:cs="Trebuchet MS" w:eastAsia="Trebuchet MS" w:hAnsi="Trebuchet M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-304798</wp:posOffset>
          </wp:positionH>
          <wp:positionV relativeFrom="paragraph">
            <wp:posOffset>85725</wp:posOffset>
          </wp:positionV>
          <wp:extent cx="3232785" cy="723900"/>
          <wp:effectExtent b="0" l="0" r="0" t="0"/>
          <wp:wrapTopAndBottom distB="0" distT="0"/>
          <wp:docPr descr="Trondheim kommune logo RGB 600dpi-01.jpg" id="2" name="image1.jpg"/>
          <a:graphic>
            <a:graphicData uri="http://schemas.openxmlformats.org/drawingml/2006/picture">
              <pic:pic>
                <pic:nvPicPr>
                  <pic:cNvPr descr="Trondheim kommune logo RGB 600dpi-01.jpg" id="0" name="image1.jpg"/>
                  <pic:cNvPicPr preferRelativeResize="0"/>
                </pic:nvPicPr>
                <pic:blipFill>
                  <a:blip r:embed="rId1"/>
                  <a:srcRect b="14414" l="5131" r="5179" t="17117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70"/>
        <w:tab w:val="right" w:leader="none" w:pos="9630"/>
      </w:tabs>
      <w:spacing w:after="0" w:before="567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b-N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tabs>
        <w:tab w:val="lef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6VhtzZ+gq0jKDYZSenS57CcJw==">CgMxLjAyCWlkLmdqZGd4czgAciExeXJXS3YzRVUxdVM2M3hDSHFIand3b0UzbVRBLVRPSzQ=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